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3E3A" w14:textId="77777777" w:rsidR="0009119C" w:rsidRDefault="0009119C" w:rsidP="00DC6460">
      <w:pPr>
        <w:framePr w:hSpace="187" w:wrap="around" w:vAnchor="page" w:hAnchor="margin" w:y="3043"/>
        <w:spacing w:after="160"/>
        <w:ind w:left="0" w:firstLine="0"/>
        <w:suppressOverlap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740C23F" w14:textId="4A0571C7" w:rsidR="002D0534" w:rsidRPr="0034630B" w:rsidRDefault="00D27A37" w:rsidP="00613F91">
      <w:pPr>
        <w:spacing w:before="0" w:after="0" w:line="276" w:lineRule="auto"/>
        <w:ind w:left="0" w:right="-180" w:firstLine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USA Midwest Province of the Society of Jesus</w:t>
      </w:r>
    </w:p>
    <w:p w14:paraId="732953B7" w14:textId="587F166A" w:rsidR="002149B3" w:rsidRPr="0034630B" w:rsidRDefault="00D27A37" w:rsidP="00613F91">
      <w:pPr>
        <w:spacing w:before="0" w:after="0" w:line="276" w:lineRule="auto"/>
        <w:ind w:left="0" w:right="-18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All Savers </w:t>
      </w:r>
    </w:p>
    <w:p w14:paraId="09E6F78F" w14:textId="27BDFDF7" w:rsidR="002149B3" w:rsidRPr="0034630B" w:rsidRDefault="00D27A37" w:rsidP="00613F91">
      <w:pPr>
        <w:spacing w:before="0" w:after="0" w:line="276" w:lineRule="auto"/>
        <w:ind w:left="0" w:right="-18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1/1/22 through 12/31/22</w:t>
      </w:r>
    </w:p>
    <w:p w14:paraId="2040CECA" w14:textId="3383A1CB" w:rsidR="005915C8" w:rsidRPr="0034630B" w:rsidRDefault="005915C8" w:rsidP="00613F91">
      <w:pPr>
        <w:spacing w:before="0" w:after="0" w:line="276" w:lineRule="auto"/>
        <w:ind w:left="0" w:right="-180" w:firstLine="0"/>
        <w:rPr>
          <w:rFonts w:ascii="Arial" w:hAnsi="Arial" w:cs="Arial"/>
          <w:b/>
          <w:sz w:val="28"/>
          <w:szCs w:val="28"/>
        </w:rPr>
      </w:pPr>
      <w:r w:rsidRPr="0034630B">
        <w:rPr>
          <w:rFonts w:ascii="Arial" w:hAnsi="Arial" w:cs="Arial"/>
          <w:b/>
          <w:sz w:val="28"/>
          <w:szCs w:val="28"/>
        </w:rPr>
        <w:t>Background</w:t>
      </w:r>
    </w:p>
    <w:p w14:paraId="5BE2BB04" w14:textId="0CCB2A06" w:rsidR="005915C8" w:rsidRPr="0034630B" w:rsidRDefault="005915C8" w:rsidP="00613F91">
      <w:pPr>
        <w:spacing w:before="0" w:after="0" w:line="276" w:lineRule="auto"/>
        <w:ind w:left="0" w:right="-180" w:firstLine="0"/>
        <w:rPr>
          <w:rFonts w:ascii="Arial" w:hAnsi="Arial" w:cs="Arial"/>
          <w:bCs/>
          <w:sz w:val="24"/>
          <w:szCs w:val="24"/>
        </w:rPr>
      </w:pPr>
      <w:r w:rsidRPr="0034630B">
        <w:rPr>
          <w:rFonts w:ascii="Arial" w:hAnsi="Arial" w:cs="Arial"/>
          <w:bCs/>
          <w:sz w:val="24"/>
          <w:szCs w:val="24"/>
        </w:rPr>
        <w:t>The state of Illinois passed the Consumer Coverage Disclosure Act (CCDA) in 2021.  The law requires employers in Illinois that provide group health insurance coverage to provide their employees with a comparison of the group covered benefit</w:t>
      </w:r>
      <w:r w:rsidR="00246AA3" w:rsidRPr="0034630B">
        <w:rPr>
          <w:rFonts w:ascii="Arial" w:hAnsi="Arial" w:cs="Arial"/>
          <w:bCs/>
          <w:sz w:val="24"/>
          <w:szCs w:val="24"/>
        </w:rPr>
        <w:t>s</w:t>
      </w:r>
      <w:r w:rsidRPr="0034630B">
        <w:rPr>
          <w:rFonts w:ascii="Arial" w:hAnsi="Arial" w:cs="Arial"/>
          <w:bCs/>
          <w:sz w:val="24"/>
          <w:szCs w:val="24"/>
        </w:rPr>
        <w:t xml:space="preserve"> with the essential health insurance benefits </w:t>
      </w:r>
      <w:r w:rsidR="00246AA3" w:rsidRPr="0034630B">
        <w:rPr>
          <w:rFonts w:ascii="Arial" w:hAnsi="Arial" w:cs="Arial"/>
          <w:bCs/>
          <w:sz w:val="24"/>
          <w:szCs w:val="24"/>
        </w:rPr>
        <w:t xml:space="preserve">(EHB) </w:t>
      </w:r>
      <w:r w:rsidRPr="0034630B">
        <w:rPr>
          <w:rFonts w:ascii="Arial" w:hAnsi="Arial" w:cs="Arial"/>
          <w:bCs/>
          <w:sz w:val="24"/>
          <w:szCs w:val="24"/>
        </w:rPr>
        <w:t xml:space="preserve">required of individual health insurance coverage regulated by the state of Illinois.   </w:t>
      </w:r>
    </w:p>
    <w:p w14:paraId="6D3F2645" w14:textId="2AAC0979" w:rsidR="00246AA3" w:rsidRPr="0034630B" w:rsidRDefault="00246AA3" w:rsidP="00613F91">
      <w:pPr>
        <w:spacing w:before="0" w:after="0" w:line="276" w:lineRule="auto"/>
        <w:ind w:left="0" w:right="-180" w:firstLine="0"/>
        <w:rPr>
          <w:rFonts w:ascii="Arial" w:hAnsi="Arial" w:cs="Arial"/>
          <w:bCs/>
        </w:rPr>
      </w:pPr>
    </w:p>
    <w:p w14:paraId="447B37C9" w14:textId="251E14EC" w:rsidR="00246AA3" w:rsidRPr="0034630B" w:rsidRDefault="00246AA3" w:rsidP="00613F91">
      <w:pPr>
        <w:spacing w:before="0" w:after="0" w:line="276" w:lineRule="auto"/>
        <w:ind w:left="0" w:right="-180" w:firstLine="0"/>
        <w:rPr>
          <w:rFonts w:ascii="Arial" w:hAnsi="Arial" w:cs="Arial"/>
          <w:b/>
          <w:sz w:val="28"/>
          <w:szCs w:val="28"/>
        </w:rPr>
      </w:pPr>
      <w:r w:rsidRPr="0034630B">
        <w:rPr>
          <w:rFonts w:ascii="Arial" w:hAnsi="Arial" w:cs="Arial"/>
          <w:b/>
          <w:sz w:val="28"/>
          <w:szCs w:val="28"/>
        </w:rPr>
        <w:t>Disclosure</w:t>
      </w:r>
    </w:p>
    <w:p w14:paraId="3547ED98" w14:textId="77777777" w:rsidR="002149B3" w:rsidRPr="0034630B" w:rsidRDefault="00246AA3" w:rsidP="00613F91">
      <w:pPr>
        <w:spacing w:before="0" w:after="0" w:line="276" w:lineRule="auto"/>
        <w:ind w:left="0" w:right="-180" w:firstLine="0"/>
        <w:rPr>
          <w:rFonts w:ascii="Arial" w:hAnsi="Arial" w:cs="Arial"/>
          <w:bCs/>
          <w:sz w:val="24"/>
          <w:szCs w:val="24"/>
        </w:rPr>
      </w:pPr>
      <w:r w:rsidRPr="0034630B">
        <w:rPr>
          <w:rFonts w:ascii="Arial" w:hAnsi="Arial" w:cs="Arial"/>
          <w:bCs/>
          <w:sz w:val="24"/>
          <w:szCs w:val="24"/>
        </w:rPr>
        <w:t xml:space="preserve">The state of Illinois requires that upon hire, annually thereafter and upon request of the employee this disclosure be made available. </w:t>
      </w:r>
      <w:r w:rsidR="002149B3" w:rsidRPr="0034630B">
        <w:rPr>
          <w:rFonts w:ascii="Arial" w:hAnsi="Arial" w:cs="Arial"/>
          <w:bCs/>
          <w:sz w:val="24"/>
          <w:szCs w:val="24"/>
        </w:rPr>
        <w:t xml:space="preserve">Acceptable forms of disclosure include emails to </w:t>
      </w:r>
      <w:proofErr w:type="spellStart"/>
      <w:r w:rsidR="002149B3" w:rsidRPr="0034630B">
        <w:rPr>
          <w:rFonts w:ascii="Arial" w:hAnsi="Arial" w:cs="Arial"/>
          <w:bCs/>
          <w:sz w:val="24"/>
          <w:szCs w:val="24"/>
        </w:rPr>
        <w:t>employes</w:t>
      </w:r>
      <w:proofErr w:type="spellEnd"/>
      <w:r w:rsidR="002149B3" w:rsidRPr="0034630B">
        <w:rPr>
          <w:rFonts w:ascii="Arial" w:hAnsi="Arial" w:cs="Arial"/>
          <w:bCs/>
          <w:sz w:val="24"/>
          <w:szCs w:val="24"/>
        </w:rPr>
        <w:t xml:space="preserve"> or posting the information on a website that the employee </w:t>
      </w:r>
      <w:proofErr w:type="gramStart"/>
      <w:r w:rsidR="002149B3" w:rsidRPr="0034630B">
        <w:rPr>
          <w:rFonts w:ascii="Arial" w:hAnsi="Arial" w:cs="Arial"/>
          <w:bCs/>
          <w:sz w:val="24"/>
          <w:szCs w:val="24"/>
        </w:rPr>
        <w:t>is able to</w:t>
      </w:r>
      <w:proofErr w:type="gramEnd"/>
      <w:r w:rsidR="002149B3" w:rsidRPr="0034630B">
        <w:rPr>
          <w:rFonts w:ascii="Arial" w:hAnsi="Arial" w:cs="Arial"/>
          <w:bCs/>
          <w:sz w:val="24"/>
          <w:szCs w:val="24"/>
        </w:rPr>
        <w:t xml:space="preserve"> regularly access.</w:t>
      </w:r>
    </w:p>
    <w:p w14:paraId="5DBAD7E3" w14:textId="77777777" w:rsidR="002149B3" w:rsidRPr="0034630B" w:rsidRDefault="002149B3" w:rsidP="00613F91">
      <w:pPr>
        <w:spacing w:before="0" w:after="0" w:line="276" w:lineRule="auto"/>
        <w:ind w:left="0" w:right="-180" w:firstLine="0"/>
        <w:rPr>
          <w:rFonts w:ascii="Arial" w:hAnsi="Arial" w:cs="Arial"/>
          <w:bCs/>
          <w:sz w:val="20"/>
          <w:szCs w:val="20"/>
        </w:rPr>
      </w:pPr>
    </w:p>
    <w:p w14:paraId="0C529838" w14:textId="117859FB" w:rsidR="00010C9D" w:rsidRPr="0034630B" w:rsidRDefault="00010C9D" w:rsidP="00613F91">
      <w:pPr>
        <w:spacing w:before="0" w:after="0" w:line="276" w:lineRule="auto"/>
        <w:ind w:left="0" w:right="-180" w:firstLine="0"/>
        <w:rPr>
          <w:rFonts w:ascii="Arial" w:hAnsi="Arial" w:cs="Arial"/>
          <w:b/>
          <w:sz w:val="28"/>
          <w:szCs w:val="28"/>
        </w:rPr>
      </w:pPr>
      <w:r w:rsidRPr="0034630B">
        <w:rPr>
          <w:rFonts w:ascii="Arial" w:hAnsi="Arial" w:cs="Arial"/>
          <w:b/>
          <w:sz w:val="28"/>
          <w:szCs w:val="28"/>
        </w:rPr>
        <w:t>EHB Categories</w:t>
      </w:r>
    </w:p>
    <w:p w14:paraId="7DB06C67" w14:textId="70BB8C5D" w:rsidR="00010C9D" w:rsidRPr="0034630B" w:rsidRDefault="00A77FB0" w:rsidP="00613F91">
      <w:pPr>
        <w:spacing w:before="0" w:after="0" w:line="276" w:lineRule="auto"/>
        <w:ind w:left="0" w:right="-180" w:firstLine="0"/>
        <w:rPr>
          <w:rFonts w:ascii="Arial" w:hAnsi="Arial" w:cs="Arial"/>
          <w:bCs/>
          <w:sz w:val="24"/>
          <w:szCs w:val="24"/>
        </w:rPr>
      </w:pPr>
      <w:r w:rsidRPr="0034630B">
        <w:rPr>
          <w:rFonts w:ascii="Arial" w:hAnsi="Arial" w:cs="Arial"/>
          <w:bCs/>
          <w:sz w:val="24"/>
          <w:szCs w:val="24"/>
        </w:rPr>
        <w:t>The ten (10)</w:t>
      </w:r>
      <w:r w:rsidR="00010C9D" w:rsidRPr="0034630B">
        <w:rPr>
          <w:rFonts w:ascii="Arial" w:hAnsi="Arial" w:cs="Arial"/>
          <w:bCs/>
          <w:sz w:val="24"/>
          <w:szCs w:val="24"/>
        </w:rPr>
        <w:t xml:space="preserve"> EHB categories </w:t>
      </w:r>
      <w:r w:rsidRPr="0034630B">
        <w:rPr>
          <w:rFonts w:ascii="Arial" w:hAnsi="Arial" w:cs="Arial"/>
          <w:bCs/>
          <w:sz w:val="24"/>
          <w:szCs w:val="24"/>
        </w:rPr>
        <w:t xml:space="preserve">are listed below </w:t>
      </w:r>
      <w:r w:rsidR="00010C9D" w:rsidRPr="0034630B">
        <w:rPr>
          <w:rFonts w:ascii="Arial" w:hAnsi="Arial" w:cs="Arial"/>
          <w:bCs/>
          <w:sz w:val="24"/>
          <w:szCs w:val="24"/>
        </w:rPr>
        <w:t>for your reference.</w:t>
      </w:r>
    </w:p>
    <w:p w14:paraId="3BA15A44" w14:textId="3810B6A0" w:rsidR="00010C9D" w:rsidRPr="0034630B" w:rsidRDefault="00010C9D" w:rsidP="00613F91">
      <w:pPr>
        <w:spacing w:before="0" w:after="0" w:line="276" w:lineRule="auto"/>
        <w:ind w:left="0" w:right="-180" w:firstLine="0"/>
        <w:rPr>
          <w:rFonts w:ascii="Arial" w:hAnsi="Arial" w:cs="Arial"/>
          <w:bCs/>
          <w:sz w:val="20"/>
          <w:szCs w:val="20"/>
        </w:rPr>
      </w:pPr>
    </w:p>
    <w:p w14:paraId="170BD99D" w14:textId="321484E2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 xml:space="preserve">Ambulatory patient services (outpatient care you get without being admitted to a </w:t>
      </w:r>
      <w:r w:rsidR="00613F91" w:rsidRPr="0034630B">
        <w:rPr>
          <w:rFonts w:ascii="Arial" w:hAnsi="Arial" w:cs="Arial"/>
          <w:bCs/>
          <w:szCs w:val="16"/>
        </w:rPr>
        <w:t>h</w:t>
      </w:r>
      <w:r w:rsidRPr="0034630B">
        <w:rPr>
          <w:rFonts w:ascii="Arial" w:hAnsi="Arial" w:cs="Arial"/>
          <w:bCs/>
          <w:szCs w:val="16"/>
        </w:rPr>
        <w:t>ospital)</w:t>
      </w:r>
    </w:p>
    <w:p w14:paraId="3CA8174E" w14:textId="09B5C91C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Emergency services</w:t>
      </w:r>
    </w:p>
    <w:p w14:paraId="1792D8D1" w14:textId="3E5B3FFF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Hospitalization (like surgery and overnight stays)</w:t>
      </w:r>
    </w:p>
    <w:p w14:paraId="7794765B" w14:textId="640CBE49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Laboratory services</w:t>
      </w:r>
    </w:p>
    <w:p w14:paraId="158D7640" w14:textId="33866525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Mental health and substance use disorder (MH/SUD) services, including behavioral health treatment (this includes counseling and psychotherapy)</w:t>
      </w:r>
    </w:p>
    <w:p w14:paraId="5EE96F77" w14:textId="77777777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Pediatric services, including oral and vision care (but adult dental and vision coverage aren’t essential health benefits)</w:t>
      </w:r>
    </w:p>
    <w:p w14:paraId="27EBB38E" w14:textId="3C6612DB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Pregnancy, maternity, and newborn care (both before and after birth)</w:t>
      </w:r>
    </w:p>
    <w:p w14:paraId="18540C41" w14:textId="747E1E83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Prescription drugs</w:t>
      </w:r>
    </w:p>
    <w:p w14:paraId="6B66DFE5" w14:textId="426DB00C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Preventive and wellness services and chronic disease management</w:t>
      </w:r>
    </w:p>
    <w:p w14:paraId="743ADC62" w14:textId="128F8661" w:rsidR="00010C9D" w:rsidRPr="0034630B" w:rsidRDefault="00010C9D" w:rsidP="00613F91">
      <w:pPr>
        <w:pStyle w:val="ListParagraph"/>
        <w:numPr>
          <w:ilvl w:val="0"/>
          <w:numId w:val="17"/>
        </w:numPr>
        <w:spacing w:before="0" w:after="0" w:line="276" w:lineRule="auto"/>
        <w:ind w:right="-180"/>
        <w:rPr>
          <w:rFonts w:ascii="Arial" w:hAnsi="Arial" w:cs="Arial"/>
          <w:bCs/>
          <w:szCs w:val="16"/>
        </w:rPr>
      </w:pPr>
      <w:r w:rsidRPr="0034630B">
        <w:rPr>
          <w:rFonts w:ascii="Arial" w:hAnsi="Arial" w:cs="Arial"/>
          <w:bCs/>
          <w:szCs w:val="16"/>
        </w:rPr>
        <w:t>Rehabilitative and habilitative services and devices (services and devices to help people with injuries, disabilities, or chronic conditions gain or recover mental and physical skills)</w:t>
      </w:r>
    </w:p>
    <w:p w14:paraId="67D1C272" w14:textId="751D72C4" w:rsidR="00010C9D" w:rsidRPr="0034630B" w:rsidRDefault="00010C9D" w:rsidP="00613F91">
      <w:pPr>
        <w:spacing w:before="0" w:after="0" w:line="276" w:lineRule="auto"/>
        <w:ind w:left="0" w:right="-180" w:firstLine="0"/>
        <w:rPr>
          <w:rFonts w:ascii="Arial" w:hAnsi="Arial" w:cs="Arial"/>
          <w:bCs/>
          <w:sz w:val="20"/>
          <w:szCs w:val="20"/>
        </w:rPr>
      </w:pPr>
    </w:p>
    <w:p w14:paraId="3BD66A46" w14:textId="77777777" w:rsidR="00010C9D" w:rsidRPr="0034630B" w:rsidRDefault="00010C9D" w:rsidP="00613F91">
      <w:pPr>
        <w:spacing w:before="0" w:after="0" w:line="276" w:lineRule="auto"/>
        <w:ind w:left="0" w:right="-180" w:firstLine="0"/>
        <w:rPr>
          <w:rFonts w:ascii="Arial" w:hAnsi="Arial" w:cs="Arial"/>
          <w:b/>
          <w:sz w:val="28"/>
          <w:szCs w:val="28"/>
        </w:rPr>
      </w:pPr>
      <w:r w:rsidRPr="0034630B">
        <w:rPr>
          <w:rFonts w:ascii="Arial" w:hAnsi="Arial" w:cs="Arial"/>
          <w:b/>
          <w:sz w:val="28"/>
          <w:szCs w:val="28"/>
        </w:rPr>
        <w:t>Compliance</w:t>
      </w:r>
    </w:p>
    <w:p w14:paraId="14873E5B" w14:textId="48435D72" w:rsidR="005915C8" w:rsidRPr="0034630B" w:rsidRDefault="00010C9D" w:rsidP="00A77FB0">
      <w:pPr>
        <w:spacing w:before="0" w:after="0" w:line="276" w:lineRule="auto"/>
        <w:ind w:left="0" w:right="-180" w:firstLine="0"/>
        <w:rPr>
          <w:rFonts w:ascii="Arial" w:hAnsi="Arial" w:cs="Arial"/>
          <w:b/>
          <w:sz w:val="28"/>
          <w:szCs w:val="20"/>
        </w:rPr>
      </w:pPr>
      <w:r w:rsidRPr="0034630B">
        <w:rPr>
          <w:rFonts w:ascii="Arial" w:hAnsi="Arial" w:cs="Arial"/>
          <w:bCs/>
          <w:sz w:val="24"/>
          <w:szCs w:val="24"/>
        </w:rPr>
        <w:t>In the pages that follow, you will find the comparison that is required.  A template of all benefits required by EHB has been attached along with an ackn</w:t>
      </w:r>
      <w:r w:rsidR="00345804" w:rsidRPr="0034630B">
        <w:rPr>
          <w:rFonts w:ascii="Arial" w:hAnsi="Arial" w:cs="Arial"/>
          <w:bCs/>
          <w:sz w:val="24"/>
          <w:szCs w:val="24"/>
        </w:rPr>
        <w:t>o</w:t>
      </w:r>
      <w:r w:rsidRPr="0034630B">
        <w:rPr>
          <w:rFonts w:ascii="Arial" w:hAnsi="Arial" w:cs="Arial"/>
          <w:bCs/>
          <w:sz w:val="24"/>
          <w:szCs w:val="24"/>
        </w:rPr>
        <w:t>wledgment of whether our plan covers each specific EHB.</w:t>
      </w:r>
      <w:r w:rsidR="00345804" w:rsidRPr="0034630B">
        <w:rPr>
          <w:rFonts w:ascii="Arial" w:hAnsi="Arial" w:cs="Arial"/>
          <w:bCs/>
          <w:sz w:val="24"/>
          <w:szCs w:val="24"/>
        </w:rPr>
        <w:t xml:space="preserve"> Note that in some cases, the EHB is covered, but may apply to your deductible.  </w:t>
      </w:r>
    </w:p>
    <w:p w14:paraId="636AAB63" w14:textId="77777777" w:rsidR="005915C8" w:rsidRPr="0034630B" w:rsidRDefault="005915C8" w:rsidP="00A6745E">
      <w:pPr>
        <w:spacing w:before="0" w:after="0" w:line="276" w:lineRule="auto"/>
        <w:ind w:left="0" w:firstLine="0"/>
        <w:jc w:val="center"/>
        <w:rPr>
          <w:rFonts w:ascii="Arial" w:hAnsi="Arial" w:cs="Arial"/>
          <w:b/>
          <w:sz w:val="28"/>
          <w:szCs w:val="20"/>
        </w:rPr>
      </w:pPr>
    </w:p>
    <w:sectPr w:rsidR="005915C8" w:rsidRPr="0034630B" w:rsidSect="00E151A8">
      <w:headerReference w:type="default" r:id="rId10"/>
      <w:pgSz w:w="12240" w:h="15840"/>
      <w:pgMar w:top="1440" w:right="1440" w:bottom="540" w:left="1440" w:header="158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EF39" w14:textId="77777777" w:rsidR="00400548" w:rsidRDefault="00400548" w:rsidP="003C5927">
      <w:pPr>
        <w:spacing w:before="0" w:after="0"/>
      </w:pPr>
      <w:r>
        <w:separator/>
      </w:r>
    </w:p>
  </w:endnote>
  <w:endnote w:type="continuationSeparator" w:id="0">
    <w:p w14:paraId="6D2BB4E8" w14:textId="77777777" w:rsidR="00400548" w:rsidRDefault="00400548" w:rsidP="003C5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vident Code128 Barcod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C152" w14:textId="77777777" w:rsidR="00400548" w:rsidRDefault="00400548" w:rsidP="003C5927">
      <w:pPr>
        <w:spacing w:before="0" w:after="0"/>
      </w:pPr>
      <w:r>
        <w:separator/>
      </w:r>
    </w:p>
  </w:footnote>
  <w:footnote w:type="continuationSeparator" w:id="0">
    <w:p w14:paraId="6A94C129" w14:textId="77777777" w:rsidR="00400548" w:rsidRDefault="00400548" w:rsidP="003C59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2523" w14:textId="58EBEA9F" w:rsidR="00B922DC" w:rsidRDefault="00A6745E" w:rsidP="004F337B">
    <w:pPr>
      <w:pStyle w:val="Header"/>
      <w:ind w:left="0" w:firstLine="0"/>
      <w:rPr>
        <w:noProof/>
      </w:rPr>
    </w:pPr>
    <w:r>
      <w:rPr>
        <w:rFonts w:ascii="Verdana" w:hAnsi="Verdana"/>
        <w:noProof/>
        <w:color w:val="000000" w:themeColor="text1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B0E9A5" wp14:editId="2094EED9">
              <wp:simplePos x="0" y="0"/>
              <wp:positionH relativeFrom="column">
                <wp:posOffset>999744</wp:posOffset>
              </wp:positionH>
              <wp:positionV relativeFrom="page">
                <wp:posOffset>414147</wp:posOffset>
              </wp:positionV>
              <wp:extent cx="3657473" cy="108508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473" cy="1085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7B33E" w14:textId="6C206661" w:rsidR="00FD6243" w:rsidRDefault="00FD6243" w:rsidP="00A674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  <w:t>Consumer Coverage</w:t>
                          </w:r>
                          <w:r w:rsidR="00A6745E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  <w:t>Di</w:t>
                          </w:r>
                          <w:r w:rsidR="00DF791F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  <w:t>closure Act</w:t>
                          </w:r>
                        </w:p>
                        <w:p w14:paraId="570ECCB3" w14:textId="016AEDF5" w:rsidR="00FD6243" w:rsidRPr="002F2F76" w:rsidRDefault="00A6745E" w:rsidP="00A674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  <w:t xml:space="preserve">    </w:t>
                          </w:r>
                          <w:r w:rsidR="00FD6243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36"/>
                              <w:szCs w:val="28"/>
                            </w:rPr>
                            <w:t>Prepared for: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0E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pt;margin-top:32.6pt;width:4in;height:8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" filled="f" stroked="f">
              <v:textbox>
                <w:txbxContent>
                  <w:p w14:paraId="2BC7B33E" w14:textId="6C206661" w:rsidR="00FD6243" w:rsidRDefault="00FD6243" w:rsidP="00A6745E">
                    <w:pPr>
                      <w:jc w:val="center"/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  <w:t>Consumer Coverage</w:t>
                    </w:r>
                    <w:r w:rsidR="00A6745E"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  <w:t>Di</w:t>
                    </w:r>
                    <w:r w:rsidR="00DF791F"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  <w:t>closure Act</w:t>
                    </w:r>
                  </w:p>
                  <w:p w14:paraId="570ECCB3" w14:textId="016AEDF5" w:rsidR="00FD6243" w:rsidRPr="002F2F76" w:rsidRDefault="00A6745E" w:rsidP="00A6745E">
                    <w:pPr>
                      <w:jc w:val="center"/>
                      <w:rPr>
                        <w:rFonts w:ascii="Arial" w:hAnsi="Arial" w:cs="Arial"/>
                        <w:b/>
                        <w:color w:val="76923C" w:themeColor="accent3" w:themeShade="BF"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  <w:t xml:space="preserve">    </w:t>
                    </w:r>
                    <w:r w:rsidR="00FD6243">
                      <w:rPr>
                        <w:rFonts w:ascii="Arial" w:hAnsi="Arial" w:cs="Arial"/>
                        <w:b/>
                        <w:color w:val="76923C" w:themeColor="accent3" w:themeShade="BF"/>
                        <w:sz w:val="36"/>
                        <w:szCs w:val="28"/>
                      </w:rPr>
                      <w:t>Prepared for: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709AAC8B" w14:textId="6D94B9A4" w:rsidR="00B922DC" w:rsidRDefault="00B922DC" w:rsidP="004F337B">
    <w:pPr>
      <w:pStyle w:val="Header"/>
      <w:ind w:left="0" w:firstLine="0"/>
      <w:rPr>
        <w:noProof/>
      </w:rPr>
    </w:pPr>
  </w:p>
  <w:p w14:paraId="120F9342" w14:textId="77777777" w:rsidR="00010C9D" w:rsidRDefault="00010C9D" w:rsidP="00A6745E">
    <w:pPr>
      <w:pStyle w:val="Header"/>
      <w:ind w:left="5040" w:firstLine="0"/>
      <w:jc w:val="right"/>
      <w:rPr>
        <w:noProof/>
      </w:rPr>
    </w:pPr>
  </w:p>
  <w:p w14:paraId="78DA4202" w14:textId="5CDFD587" w:rsidR="00B922DC" w:rsidRDefault="00A6745E" w:rsidP="00A6745E">
    <w:pPr>
      <w:pStyle w:val="Header"/>
      <w:ind w:left="5040" w:firstLine="0"/>
      <w:jc w:val="right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F8"/>
    <w:multiLevelType w:val="hybridMultilevel"/>
    <w:tmpl w:val="40BCE158"/>
    <w:lvl w:ilvl="0" w:tplc="34EA5CB2">
      <w:numFmt w:val="bullet"/>
      <w:lvlText w:val="•"/>
      <w:lvlJc w:val="left"/>
      <w:pPr>
        <w:ind w:left="720" w:hanging="360"/>
      </w:pPr>
      <w:rPr>
        <w:rFonts w:ascii="Verdana" w:hAnsi="Verdana" w:cs="Provident Code128 Barcode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B18"/>
    <w:multiLevelType w:val="hybridMultilevel"/>
    <w:tmpl w:val="F6EE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B1A"/>
    <w:multiLevelType w:val="hybridMultilevel"/>
    <w:tmpl w:val="65AAB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59F"/>
    <w:multiLevelType w:val="hybridMultilevel"/>
    <w:tmpl w:val="B3CE906E"/>
    <w:lvl w:ilvl="0" w:tplc="34EA5CB2">
      <w:numFmt w:val="bullet"/>
      <w:pStyle w:val="Sidebarbullets"/>
      <w:lvlText w:val="•"/>
      <w:lvlJc w:val="left"/>
      <w:pPr>
        <w:ind w:left="720" w:hanging="360"/>
      </w:pPr>
      <w:rPr>
        <w:rFonts w:ascii="Verdana" w:hAnsi="Verdana" w:cs="MS Mincho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5BD4"/>
    <w:multiLevelType w:val="hybridMultilevel"/>
    <w:tmpl w:val="323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2D2"/>
    <w:multiLevelType w:val="hybridMultilevel"/>
    <w:tmpl w:val="DCE8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45E4"/>
    <w:multiLevelType w:val="hybridMultilevel"/>
    <w:tmpl w:val="E034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35E94"/>
    <w:multiLevelType w:val="hybridMultilevel"/>
    <w:tmpl w:val="60E2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3A63"/>
    <w:multiLevelType w:val="hybridMultilevel"/>
    <w:tmpl w:val="3706395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3E3411D1"/>
    <w:multiLevelType w:val="hybridMultilevel"/>
    <w:tmpl w:val="DFD4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2225"/>
    <w:multiLevelType w:val="hybridMultilevel"/>
    <w:tmpl w:val="59BC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F4E"/>
    <w:multiLevelType w:val="hybridMultilevel"/>
    <w:tmpl w:val="F19EC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1E80"/>
    <w:multiLevelType w:val="hybridMultilevel"/>
    <w:tmpl w:val="99FA7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C7046"/>
    <w:multiLevelType w:val="hybridMultilevel"/>
    <w:tmpl w:val="E62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7067A"/>
    <w:multiLevelType w:val="hybridMultilevel"/>
    <w:tmpl w:val="2F5C4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356D3A"/>
    <w:multiLevelType w:val="hybridMultilevel"/>
    <w:tmpl w:val="4C00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1078"/>
    <w:multiLevelType w:val="hybridMultilevel"/>
    <w:tmpl w:val="F91A1E60"/>
    <w:lvl w:ilvl="0" w:tplc="F53CC780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03075">
    <w:abstractNumId w:val="7"/>
  </w:num>
  <w:num w:numId="2" w16cid:durableId="724986177">
    <w:abstractNumId w:val="16"/>
  </w:num>
  <w:num w:numId="3" w16cid:durableId="1033189590">
    <w:abstractNumId w:val="3"/>
  </w:num>
  <w:num w:numId="4" w16cid:durableId="1165898871">
    <w:abstractNumId w:val="0"/>
  </w:num>
  <w:num w:numId="5" w16cid:durableId="819225836">
    <w:abstractNumId w:val="8"/>
  </w:num>
  <w:num w:numId="6" w16cid:durableId="1660648501">
    <w:abstractNumId w:val="10"/>
  </w:num>
  <w:num w:numId="7" w16cid:durableId="541334428">
    <w:abstractNumId w:val="14"/>
  </w:num>
  <w:num w:numId="8" w16cid:durableId="861894087">
    <w:abstractNumId w:val="15"/>
  </w:num>
  <w:num w:numId="9" w16cid:durableId="1013267677">
    <w:abstractNumId w:val="13"/>
  </w:num>
  <w:num w:numId="10" w16cid:durableId="1042747072">
    <w:abstractNumId w:val="4"/>
  </w:num>
  <w:num w:numId="11" w16cid:durableId="966668408">
    <w:abstractNumId w:val="2"/>
  </w:num>
  <w:num w:numId="12" w16cid:durableId="1856115966">
    <w:abstractNumId w:val="11"/>
  </w:num>
  <w:num w:numId="13" w16cid:durableId="1134561557">
    <w:abstractNumId w:val="6"/>
  </w:num>
  <w:num w:numId="14" w16cid:durableId="305474379">
    <w:abstractNumId w:val="12"/>
  </w:num>
  <w:num w:numId="15" w16cid:durableId="798762304">
    <w:abstractNumId w:val="9"/>
  </w:num>
  <w:num w:numId="16" w16cid:durableId="1325626168">
    <w:abstractNumId w:val="5"/>
  </w:num>
  <w:num w:numId="17" w16cid:durableId="151017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AF"/>
    <w:rsid w:val="0000513C"/>
    <w:rsid w:val="00010C9D"/>
    <w:rsid w:val="00013346"/>
    <w:rsid w:val="00015621"/>
    <w:rsid w:val="000268BB"/>
    <w:rsid w:val="00030E7F"/>
    <w:rsid w:val="00032E80"/>
    <w:rsid w:val="000438AC"/>
    <w:rsid w:val="00051801"/>
    <w:rsid w:val="00066D4A"/>
    <w:rsid w:val="0007375B"/>
    <w:rsid w:val="000737D5"/>
    <w:rsid w:val="00085AB8"/>
    <w:rsid w:val="0009119C"/>
    <w:rsid w:val="000A7523"/>
    <w:rsid w:val="000B5143"/>
    <w:rsid w:val="000C4093"/>
    <w:rsid w:val="000D08F3"/>
    <w:rsid w:val="000D2A06"/>
    <w:rsid w:val="000E52F1"/>
    <w:rsid w:val="000F13F3"/>
    <w:rsid w:val="000F2D3D"/>
    <w:rsid w:val="000F5777"/>
    <w:rsid w:val="000F76FB"/>
    <w:rsid w:val="00106D74"/>
    <w:rsid w:val="001101DE"/>
    <w:rsid w:val="001102D0"/>
    <w:rsid w:val="00113090"/>
    <w:rsid w:val="00116D23"/>
    <w:rsid w:val="00123EBE"/>
    <w:rsid w:val="001303DE"/>
    <w:rsid w:val="00130B71"/>
    <w:rsid w:val="00130B81"/>
    <w:rsid w:val="00133B5A"/>
    <w:rsid w:val="0013636B"/>
    <w:rsid w:val="0015380C"/>
    <w:rsid w:val="00160DE2"/>
    <w:rsid w:val="00166FCF"/>
    <w:rsid w:val="001867FC"/>
    <w:rsid w:val="00190C2B"/>
    <w:rsid w:val="00196407"/>
    <w:rsid w:val="001A0F37"/>
    <w:rsid w:val="001A2616"/>
    <w:rsid w:val="001A6E64"/>
    <w:rsid w:val="001C1E42"/>
    <w:rsid w:val="001C5C2A"/>
    <w:rsid w:val="001D6AE3"/>
    <w:rsid w:val="001D7F4B"/>
    <w:rsid w:val="001E7541"/>
    <w:rsid w:val="001F54CE"/>
    <w:rsid w:val="001F5B89"/>
    <w:rsid w:val="001F5CFF"/>
    <w:rsid w:val="00204B03"/>
    <w:rsid w:val="002062F5"/>
    <w:rsid w:val="00206CB9"/>
    <w:rsid w:val="002149B3"/>
    <w:rsid w:val="00216039"/>
    <w:rsid w:val="00221D83"/>
    <w:rsid w:val="002272BF"/>
    <w:rsid w:val="00233033"/>
    <w:rsid w:val="002338CD"/>
    <w:rsid w:val="00236E22"/>
    <w:rsid w:val="00246AA3"/>
    <w:rsid w:val="00253722"/>
    <w:rsid w:val="00253874"/>
    <w:rsid w:val="00254A87"/>
    <w:rsid w:val="002673B8"/>
    <w:rsid w:val="002808B9"/>
    <w:rsid w:val="00282B55"/>
    <w:rsid w:val="00295E0B"/>
    <w:rsid w:val="0029734D"/>
    <w:rsid w:val="00297D76"/>
    <w:rsid w:val="002A00A9"/>
    <w:rsid w:val="002A1421"/>
    <w:rsid w:val="002A14FA"/>
    <w:rsid w:val="002A236B"/>
    <w:rsid w:val="002C12CC"/>
    <w:rsid w:val="002C387C"/>
    <w:rsid w:val="002C53C5"/>
    <w:rsid w:val="002D0534"/>
    <w:rsid w:val="002D15ED"/>
    <w:rsid w:val="002D223B"/>
    <w:rsid w:val="002D3FFE"/>
    <w:rsid w:val="002D6720"/>
    <w:rsid w:val="002E3FBA"/>
    <w:rsid w:val="002F2F76"/>
    <w:rsid w:val="002F3E19"/>
    <w:rsid w:val="00325B45"/>
    <w:rsid w:val="00341A8B"/>
    <w:rsid w:val="00345804"/>
    <w:rsid w:val="0034630B"/>
    <w:rsid w:val="00356E2B"/>
    <w:rsid w:val="003743DE"/>
    <w:rsid w:val="00376172"/>
    <w:rsid w:val="003808EA"/>
    <w:rsid w:val="00382B4C"/>
    <w:rsid w:val="003B0EFF"/>
    <w:rsid w:val="003B5FDF"/>
    <w:rsid w:val="003C5927"/>
    <w:rsid w:val="003C7361"/>
    <w:rsid w:val="003D733D"/>
    <w:rsid w:val="003E3BAF"/>
    <w:rsid w:val="00400548"/>
    <w:rsid w:val="004102F7"/>
    <w:rsid w:val="004118D2"/>
    <w:rsid w:val="00443C59"/>
    <w:rsid w:val="00446FB6"/>
    <w:rsid w:val="00453DE4"/>
    <w:rsid w:val="004547DF"/>
    <w:rsid w:val="004661E7"/>
    <w:rsid w:val="00474D28"/>
    <w:rsid w:val="004757C2"/>
    <w:rsid w:val="00486AB6"/>
    <w:rsid w:val="00493404"/>
    <w:rsid w:val="00493A60"/>
    <w:rsid w:val="004A00AE"/>
    <w:rsid w:val="004B3BF9"/>
    <w:rsid w:val="004C1F87"/>
    <w:rsid w:val="004C3290"/>
    <w:rsid w:val="004C4C4C"/>
    <w:rsid w:val="004D0601"/>
    <w:rsid w:val="004D1317"/>
    <w:rsid w:val="004D449B"/>
    <w:rsid w:val="004E3578"/>
    <w:rsid w:val="004E3C41"/>
    <w:rsid w:val="004E494B"/>
    <w:rsid w:val="004F337B"/>
    <w:rsid w:val="004F7C32"/>
    <w:rsid w:val="0050017E"/>
    <w:rsid w:val="00511FBA"/>
    <w:rsid w:val="00524C89"/>
    <w:rsid w:val="00535AEA"/>
    <w:rsid w:val="00541F81"/>
    <w:rsid w:val="005433F5"/>
    <w:rsid w:val="00544FC3"/>
    <w:rsid w:val="0055154A"/>
    <w:rsid w:val="005570DB"/>
    <w:rsid w:val="0056042A"/>
    <w:rsid w:val="005623ED"/>
    <w:rsid w:val="00563DF6"/>
    <w:rsid w:val="005659E1"/>
    <w:rsid w:val="00567DA2"/>
    <w:rsid w:val="00571024"/>
    <w:rsid w:val="0057160D"/>
    <w:rsid w:val="005841B0"/>
    <w:rsid w:val="00584530"/>
    <w:rsid w:val="005915C8"/>
    <w:rsid w:val="00591B3E"/>
    <w:rsid w:val="00592EB7"/>
    <w:rsid w:val="00597C09"/>
    <w:rsid w:val="005A0438"/>
    <w:rsid w:val="005B1773"/>
    <w:rsid w:val="005E1287"/>
    <w:rsid w:val="005F0CD9"/>
    <w:rsid w:val="00602F6A"/>
    <w:rsid w:val="00603897"/>
    <w:rsid w:val="00613F91"/>
    <w:rsid w:val="00614C83"/>
    <w:rsid w:val="00626014"/>
    <w:rsid w:val="00630BE0"/>
    <w:rsid w:val="00646D53"/>
    <w:rsid w:val="00653C91"/>
    <w:rsid w:val="00665F5D"/>
    <w:rsid w:val="00671B43"/>
    <w:rsid w:val="00675E18"/>
    <w:rsid w:val="0069214E"/>
    <w:rsid w:val="00696652"/>
    <w:rsid w:val="006A42D8"/>
    <w:rsid w:val="006A5AF9"/>
    <w:rsid w:val="006A742B"/>
    <w:rsid w:val="006B2C85"/>
    <w:rsid w:val="006B4D39"/>
    <w:rsid w:val="006B618F"/>
    <w:rsid w:val="006D2BC2"/>
    <w:rsid w:val="006D5D7D"/>
    <w:rsid w:val="006E1E8D"/>
    <w:rsid w:val="006F1EB8"/>
    <w:rsid w:val="006F450B"/>
    <w:rsid w:val="00704CA9"/>
    <w:rsid w:val="007055F3"/>
    <w:rsid w:val="00712AC5"/>
    <w:rsid w:val="0072333F"/>
    <w:rsid w:val="007240F7"/>
    <w:rsid w:val="0072606C"/>
    <w:rsid w:val="007314CF"/>
    <w:rsid w:val="00736085"/>
    <w:rsid w:val="007451BC"/>
    <w:rsid w:val="00754D13"/>
    <w:rsid w:val="007618E0"/>
    <w:rsid w:val="00766C43"/>
    <w:rsid w:val="00767EB0"/>
    <w:rsid w:val="00770F57"/>
    <w:rsid w:val="007776DE"/>
    <w:rsid w:val="00783D09"/>
    <w:rsid w:val="007861B4"/>
    <w:rsid w:val="007A3107"/>
    <w:rsid w:val="007B5A17"/>
    <w:rsid w:val="007B5A6A"/>
    <w:rsid w:val="007C7C74"/>
    <w:rsid w:val="007E1E09"/>
    <w:rsid w:val="007E47EA"/>
    <w:rsid w:val="007F3C1A"/>
    <w:rsid w:val="007F5BF9"/>
    <w:rsid w:val="00805098"/>
    <w:rsid w:val="0080567D"/>
    <w:rsid w:val="008128BA"/>
    <w:rsid w:val="00813758"/>
    <w:rsid w:val="0082321B"/>
    <w:rsid w:val="008244BE"/>
    <w:rsid w:val="00851D9D"/>
    <w:rsid w:val="008567D3"/>
    <w:rsid w:val="008759E5"/>
    <w:rsid w:val="00876609"/>
    <w:rsid w:val="00880F5E"/>
    <w:rsid w:val="00886576"/>
    <w:rsid w:val="008A41B7"/>
    <w:rsid w:val="008A58F2"/>
    <w:rsid w:val="008B5925"/>
    <w:rsid w:val="008D0984"/>
    <w:rsid w:val="008D4338"/>
    <w:rsid w:val="008D5CE7"/>
    <w:rsid w:val="008F6160"/>
    <w:rsid w:val="008F6973"/>
    <w:rsid w:val="008F7820"/>
    <w:rsid w:val="00905144"/>
    <w:rsid w:val="0091322D"/>
    <w:rsid w:val="009211F2"/>
    <w:rsid w:val="0092467D"/>
    <w:rsid w:val="00926E8B"/>
    <w:rsid w:val="00927B0A"/>
    <w:rsid w:val="00936824"/>
    <w:rsid w:val="00941538"/>
    <w:rsid w:val="00964515"/>
    <w:rsid w:val="009674CA"/>
    <w:rsid w:val="00972DDB"/>
    <w:rsid w:val="009860FD"/>
    <w:rsid w:val="009867BD"/>
    <w:rsid w:val="00995219"/>
    <w:rsid w:val="00995B0A"/>
    <w:rsid w:val="00997973"/>
    <w:rsid w:val="009A47EA"/>
    <w:rsid w:val="009B3D77"/>
    <w:rsid w:val="009B75CA"/>
    <w:rsid w:val="009C4BD5"/>
    <w:rsid w:val="009D1897"/>
    <w:rsid w:val="009F28F1"/>
    <w:rsid w:val="009F4029"/>
    <w:rsid w:val="009F4C50"/>
    <w:rsid w:val="00A0148E"/>
    <w:rsid w:val="00A10C05"/>
    <w:rsid w:val="00A33D57"/>
    <w:rsid w:val="00A36835"/>
    <w:rsid w:val="00A51BC0"/>
    <w:rsid w:val="00A54208"/>
    <w:rsid w:val="00A63A08"/>
    <w:rsid w:val="00A64031"/>
    <w:rsid w:val="00A6521C"/>
    <w:rsid w:val="00A6745E"/>
    <w:rsid w:val="00A72511"/>
    <w:rsid w:val="00A75C9D"/>
    <w:rsid w:val="00A77FB0"/>
    <w:rsid w:val="00A852C9"/>
    <w:rsid w:val="00A96E48"/>
    <w:rsid w:val="00AA10E0"/>
    <w:rsid w:val="00AA2010"/>
    <w:rsid w:val="00AA5FF1"/>
    <w:rsid w:val="00AA7B5D"/>
    <w:rsid w:val="00AB4737"/>
    <w:rsid w:val="00AC002A"/>
    <w:rsid w:val="00AD1185"/>
    <w:rsid w:val="00AE348F"/>
    <w:rsid w:val="00AF4CD2"/>
    <w:rsid w:val="00AF5294"/>
    <w:rsid w:val="00B066D4"/>
    <w:rsid w:val="00B10FB0"/>
    <w:rsid w:val="00B24A9B"/>
    <w:rsid w:val="00B32F8A"/>
    <w:rsid w:val="00B359D9"/>
    <w:rsid w:val="00B41C53"/>
    <w:rsid w:val="00B47996"/>
    <w:rsid w:val="00B54413"/>
    <w:rsid w:val="00B646AF"/>
    <w:rsid w:val="00B67B12"/>
    <w:rsid w:val="00B67DC5"/>
    <w:rsid w:val="00B84C90"/>
    <w:rsid w:val="00B922DC"/>
    <w:rsid w:val="00BB4406"/>
    <w:rsid w:val="00BE2A2B"/>
    <w:rsid w:val="00BE6841"/>
    <w:rsid w:val="00BF0D2C"/>
    <w:rsid w:val="00BF1B5A"/>
    <w:rsid w:val="00BF2A9A"/>
    <w:rsid w:val="00BF2D1E"/>
    <w:rsid w:val="00BF6382"/>
    <w:rsid w:val="00BF7241"/>
    <w:rsid w:val="00C02E76"/>
    <w:rsid w:val="00C10585"/>
    <w:rsid w:val="00C115CF"/>
    <w:rsid w:val="00C133F3"/>
    <w:rsid w:val="00C4217C"/>
    <w:rsid w:val="00C5456A"/>
    <w:rsid w:val="00C55C4D"/>
    <w:rsid w:val="00C6165B"/>
    <w:rsid w:val="00C62DCF"/>
    <w:rsid w:val="00C71B64"/>
    <w:rsid w:val="00C7205E"/>
    <w:rsid w:val="00C81B09"/>
    <w:rsid w:val="00C82784"/>
    <w:rsid w:val="00C84B7F"/>
    <w:rsid w:val="00C93C0C"/>
    <w:rsid w:val="00CA3304"/>
    <w:rsid w:val="00CB0274"/>
    <w:rsid w:val="00CB1755"/>
    <w:rsid w:val="00CB5065"/>
    <w:rsid w:val="00CC49FE"/>
    <w:rsid w:val="00CC77A4"/>
    <w:rsid w:val="00CD0A2A"/>
    <w:rsid w:val="00CD184D"/>
    <w:rsid w:val="00CD2B6C"/>
    <w:rsid w:val="00CE51B3"/>
    <w:rsid w:val="00CE7770"/>
    <w:rsid w:val="00CF2936"/>
    <w:rsid w:val="00CF5145"/>
    <w:rsid w:val="00D1035B"/>
    <w:rsid w:val="00D11A84"/>
    <w:rsid w:val="00D15083"/>
    <w:rsid w:val="00D15FAF"/>
    <w:rsid w:val="00D21F78"/>
    <w:rsid w:val="00D23288"/>
    <w:rsid w:val="00D27A37"/>
    <w:rsid w:val="00D31DA8"/>
    <w:rsid w:val="00D329E2"/>
    <w:rsid w:val="00D35701"/>
    <w:rsid w:val="00D41C54"/>
    <w:rsid w:val="00D4429D"/>
    <w:rsid w:val="00D542A3"/>
    <w:rsid w:val="00D5587E"/>
    <w:rsid w:val="00D623C7"/>
    <w:rsid w:val="00D66034"/>
    <w:rsid w:val="00D71657"/>
    <w:rsid w:val="00D7354A"/>
    <w:rsid w:val="00D758CE"/>
    <w:rsid w:val="00D848FA"/>
    <w:rsid w:val="00D95609"/>
    <w:rsid w:val="00D9740A"/>
    <w:rsid w:val="00DA52A0"/>
    <w:rsid w:val="00DB7D36"/>
    <w:rsid w:val="00DC471F"/>
    <w:rsid w:val="00DC6460"/>
    <w:rsid w:val="00DC7B2B"/>
    <w:rsid w:val="00DE43C1"/>
    <w:rsid w:val="00DF791F"/>
    <w:rsid w:val="00DF7AD8"/>
    <w:rsid w:val="00E047B9"/>
    <w:rsid w:val="00E0758A"/>
    <w:rsid w:val="00E079FF"/>
    <w:rsid w:val="00E13B06"/>
    <w:rsid w:val="00E151A8"/>
    <w:rsid w:val="00E20183"/>
    <w:rsid w:val="00E21342"/>
    <w:rsid w:val="00E21A09"/>
    <w:rsid w:val="00E25A05"/>
    <w:rsid w:val="00E275BC"/>
    <w:rsid w:val="00E46721"/>
    <w:rsid w:val="00E52FCE"/>
    <w:rsid w:val="00E53E21"/>
    <w:rsid w:val="00E56801"/>
    <w:rsid w:val="00E6447D"/>
    <w:rsid w:val="00E64998"/>
    <w:rsid w:val="00E7020C"/>
    <w:rsid w:val="00E76169"/>
    <w:rsid w:val="00E85DE6"/>
    <w:rsid w:val="00E85F61"/>
    <w:rsid w:val="00E916B0"/>
    <w:rsid w:val="00E928BD"/>
    <w:rsid w:val="00E9744B"/>
    <w:rsid w:val="00EA5F84"/>
    <w:rsid w:val="00EA6C88"/>
    <w:rsid w:val="00EB4C6A"/>
    <w:rsid w:val="00EB699B"/>
    <w:rsid w:val="00EB7929"/>
    <w:rsid w:val="00EC109C"/>
    <w:rsid w:val="00ED2722"/>
    <w:rsid w:val="00EF0B8C"/>
    <w:rsid w:val="00EF7669"/>
    <w:rsid w:val="00F050F4"/>
    <w:rsid w:val="00F12F94"/>
    <w:rsid w:val="00F15489"/>
    <w:rsid w:val="00F16ED4"/>
    <w:rsid w:val="00F245F4"/>
    <w:rsid w:val="00F309CF"/>
    <w:rsid w:val="00F30BE5"/>
    <w:rsid w:val="00F403ED"/>
    <w:rsid w:val="00F40DB1"/>
    <w:rsid w:val="00F45093"/>
    <w:rsid w:val="00F53611"/>
    <w:rsid w:val="00F601B9"/>
    <w:rsid w:val="00F64B59"/>
    <w:rsid w:val="00F76810"/>
    <w:rsid w:val="00F8394B"/>
    <w:rsid w:val="00F87C72"/>
    <w:rsid w:val="00F94ED6"/>
    <w:rsid w:val="00FA2403"/>
    <w:rsid w:val="00FA59A2"/>
    <w:rsid w:val="00FA5C45"/>
    <w:rsid w:val="00FB32C0"/>
    <w:rsid w:val="00FB52EA"/>
    <w:rsid w:val="00FD09D7"/>
    <w:rsid w:val="00FD2F2E"/>
    <w:rsid w:val="00FD44DE"/>
    <w:rsid w:val="00FD6243"/>
    <w:rsid w:val="00FE0304"/>
    <w:rsid w:val="00FE5718"/>
    <w:rsid w:val="00FF0B29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A3FF88"/>
  <w15:docId w15:val="{D267A5B9-7F5B-4D76-B2F6-8F8ED06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/>
        <w:ind w:left="274" w:hanging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9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9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5927"/>
  </w:style>
  <w:style w:type="paragraph" w:styleId="Footer">
    <w:name w:val="footer"/>
    <w:basedOn w:val="Normal"/>
    <w:link w:val="FooterChar"/>
    <w:uiPriority w:val="99"/>
    <w:unhideWhenUsed/>
    <w:rsid w:val="003C59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5927"/>
  </w:style>
  <w:style w:type="character" w:styleId="PlaceholderText">
    <w:name w:val="Placeholder Text"/>
    <w:basedOn w:val="DefaultParagraphFont"/>
    <w:uiPriority w:val="99"/>
    <w:semiHidden/>
    <w:rsid w:val="00D329E2"/>
    <w:rPr>
      <w:color w:val="808080"/>
    </w:rPr>
  </w:style>
  <w:style w:type="table" w:styleId="TableGrid">
    <w:name w:val="Table Grid"/>
    <w:basedOn w:val="TableNormal"/>
    <w:uiPriority w:val="59"/>
    <w:rsid w:val="00B5441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9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6B0"/>
    <w:pPr>
      <w:ind w:left="720"/>
      <w:contextualSpacing/>
    </w:pPr>
  </w:style>
  <w:style w:type="paragraph" w:customStyle="1" w:styleId="Sidebarbullets">
    <w:name w:val="Sidebar bullets"/>
    <w:basedOn w:val="Normal"/>
    <w:rsid w:val="00E916B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apps\marketing\mom\Attachments\%5bVer1%5dMK-3071_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68BB8E18C042890634D0963E226A" ma:contentTypeVersion="0" ma:contentTypeDescription="Create a new document." ma:contentTypeScope="" ma:versionID="caada9c0dc1d32d1baed0db1442b36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EAF42-0201-4448-A2DB-403DEE54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90D40-F42B-4122-A83F-D8189B77E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10512-6431-45ED-9826-668EFD9E9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C:\corpapps\marketing\mom\Attachments\[Ver1]MK-3071_7-12.dotx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adf10</dc:creator>
  <cp:lastModifiedBy>Quentin Maguire UMI Director of Communications</cp:lastModifiedBy>
  <cp:revision>4</cp:revision>
  <cp:lastPrinted>2016-11-13T14:00:00Z</cp:lastPrinted>
  <dcterms:created xsi:type="dcterms:W3CDTF">2022-09-09T21:24:00Z</dcterms:created>
  <dcterms:modified xsi:type="dcterms:W3CDTF">2022-09-13T20:03:00Z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0x01010062FA68BB8E18C042890634D0963E226A</vt:lpwstr>
  </property>
</Properties>
</file>